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281F" w14:textId="77777777" w:rsidR="001D5E58" w:rsidRPr="00145BF3" w:rsidRDefault="001D5E58" w:rsidP="00FA7BDE">
      <w:pPr>
        <w:pStyle w:val="NormalnyWeb"/>
        <w:shd w:val="clear" w:color="auto" w:fill="FFFFFF"/>
        <w:spacing w:before="0" w:beforeAutospacing="0"/>
        <w:jc w:val="center"/>
        <w:rPr>
          <w:color w:val="11110B"/>
          <w:u w:val="single"/>
        </w:rPr>
      </w:pPr>
      <w:r w:rsidRPr="00145BF3">
        <w:rPr>
          <w:rStyle w:val="Pogrubienie"/>
          <w:color w:val="11110B"/>
          <w:u w:val="single"/>
        </w:rPr>
        <w:t>WAŻNA INFORMACJA DLA ORGANIZACJI POZARZĄDOWYCH</w:t>
      </w:r>
    </w:p>
    <w:p w14:paraId="2714EAB4" w14:textId="070E8183" w:rsidR="001D5E58" w:rsidRPr="001D5E58" w:rsidRDefault="001D5E58" w:rsidP="00FA7BDE">
      <w:pPr>
        <w:pStyle w:val="NormalnyWeb"/>
        <w:shd w:val="clear" w:color="auto" w:fill="FFFFFF"/>
        <w:spacing w:before="0" w:beforeAutospacing="0" w:after="0" w:afterAutospacing="0"/>
        <w:jc w:val="both"/>
        <w:rPr>
          <w:color w:val="11110B"/>
        </w:rPr>
      </w:pPr>
      <w:r w:rsidRPr="001D5E58">
        <w:rPr>
          <w:color w:val="11110B"/>
        </w:rPr>
        <w:t>W kwietniu 2021 r. parlament znowelizował Ustawę z dn. 1 marca 2018 r. o przeciwdziałaniu praniu pieniędzy i finansowaniu terroryzmu (</w:t>
      </w:r>
      <w:proofErr w:type="spellStart"/>
      <w:r w:rsidRPr="001D5E58">
        <w:rPr>
          <w:color w:val="11110B"/>
        </w:rPr>
        <w:t>t</w:t>
      </w:r>
      <w:r w:rsidR="00B86737">
        <w:rPr>
          <w:color w:val="11110B"/>
        </w:rPr>
        <w:t>.</w:t>
      </w:r>
      <w:r w:rsidRPr="001D5E58">
        <w:rPr>
          <w:color w:val="11110B"/>
        </w:rPr>
        <w:t>j</w:t>
      </w:r>
      <w:proofErr w:type="spellEnd"/>
      <w:r w:rsidRPr="001D5E58">
        <w:rPr>
          <w:color w:val="11110B"/>
        </w:rPr>
        <w:t>. Dz. U. z 2021 r., poz. 1132, 1163).</w:t>
      </w:r>
    </w:p>
    <w:p w14:paraId="687CD321" w14:textId="3EB9829E" w:rsidR="001D5E58" w:rsidRPr="001D5E58" w:rsidRDefault="001D5E58" w:rsidP="00FA7BDE">
      <w:pPr>
        <w:pStyle w:val="NormalnyWeb"/>
        <w:shd w:val="clear" w:color="auto" w:fill="FFFFFF"/>
        <w:spacing w:before="0" w:beforeAutospacing="0" w:after="0" w:afterAutospacing="0"/>
        <w:ind w:firstLine="708"/>
        <w:jc w:val="both"/>
        <w:rPr>
          <w:color w:val="11110B"/>
        </w:rPr>
      </w:pPr>
      <w:r w:rsidRPr="001D5E58">
        <w:rPr>
          <w:color w:val="11110B"/>
        </w:rPr>
        <w:t>Największą zmianą z punktu widzenia organizacji pozarządowych jest ujęcie ich w katalogu podmiotów zobowiązanych do zgłaszania swoich beneficjentów rzeczywistych do</w:t>
      </w:r>
      <w:r>
        <w:rPr>
          <w:color w:val="11110B"/>
        </w:rPr>
        <w:t xml:space="preserve"> </w:t>
      </w:r>
      <w:r w:rsidRPr="001D5E58">
        <w:rPr>
          <w:rStyle w:val="Pogrubienie"/>
          <w:color w:val="11110B"/>
        </w:rPr>
        <w:t>Centralnego Rejestru Beneficjentów Rzeczywistych</w:t>
      </w:r>
      <w:r>
        <w:rPr>
          <w:rStyle w:val="Pogrubienie"/>
          <w:color w:val="11110B"/>
        </w:rPr>
        <w:t xml:space="preserve"> </w:t>
      </w:r>
      <w:r w:rsidRPr="001D5E58">
        <w:rPr>
          <w:color w:val="11110B"/>
        </w:rPr>
        <w:t>(rejestr zawierający informacje o</w:t>
      </w:r>
      <w:r w:rsidR="00B86737">
        <w:rPr>
          <w:color w:val="11110B"/>
        </w:rPr>
        <w:t> </w:t>
      </w:r>
      <w:r w:rsidRPr="001D5E58">
        <w:rPr>
          <w:color w:val="11110B"/>
        </w:rPr>
        <w:t>osobach fizycznych kontrolujących poprzez posiadane udziały lub prawo głosu wymienione w ustawie podmioty).</w:t>
      </w:r>
    </w:p>
    <w:p w14:paraId="17BC8DBB" w14:textId="5376E9F3" w:rsidR="001D5E58" w:rsidRPr="001D5E58" w:rsidRDefault="001D5E58" w:rsidP="00FA7BDE">
      <w:pPr>
        <w:pStyle w:val="NormalnyWeb"/>
        <w:shd w:val="clear" w:color="auto" w:fill="FFFFFF"/>
        <w:spacing w:before="0" w:beforeAutospacing="0" w:after="0" w:afterAutospacing="0"/>
        <w:ind w:firstLine="708"/>
        <w:jc w:val="both"/>
        <w:rPr>
          <w:color w:val="11110B"/>
        </w:rPr>
      </w:pPr>
      <w:r w:rsidRPr="001D5E58">
        <w:rPr>
          <w:color w:val="11110B"/>
        </w:rPr>
        <w:t>Obowiązek ten</w:t>
      </w:r>
      <w:r>
        <w:rPr>
          <w:color w:val="11110B"/>
        </w:rPr>
        <w:t xml:space="preserve"> </w:t>
      </w:r>
      <w:r w:rsidRPr="001D5E58">
        <w:rPr>
          <w:rStyle w:val="Pogrubienie"/>
          <w:color w:val="11110B"/>
        </w:rPr>
        <w:t>od 31 października 2021 r. dotyczy m.in. fundacji, stowarzyszeń rejestrowych,</w:t>
      </w:r>
      <w:r>
        <w:rPr>
          <w:color w:val="11110B"/>
        </w:rPr>
        <w:t xml:space="preserve"> </w:t>
      </w:r>
      <w:r w:rsidRPr="001D5E58">
        <w:rPr>
          <w:color w:val="11110B"/>
        </w:rPr>
        <w:t>poza stowarzyszeniami zwykłymi. Ostatecznym terminem do dopełnienia obowiązków ustawowych dla podmiotów uprzednio zarejestrowanych w KRS będzie</w:t>
      </w:r>
      <w:r>
        <w:rPr>
          <w:color w:val="11110B"/>
        </w:rPr>
        <w:t xml:space="preserve"> </w:t>
      </w:r>
      <w:r w:rsidRPr="001D5E58">
        <w:rPr>
          <w:rStyle w:val="Pogrubienie"/>
          <w:color w:val="11110B"/>
        </w:rPr>
        <w:t>31 stycznia 2022r.</w:t>
      </w:r>
    </w:p>
    <w:p w14:paraId="3795F243" w14:textId="1750A3F6" w:rsidR="001D5E58" w:rsidRPr="001D5E58" w:rsidRDefault="001D5E58" w:rsidP="00FA7BDE">
      <w:pPr>
        <w:pStyle w:val="NormalnyWeb"/>
        <w:shd w:val="clear" w:color="auto" w:fill="FFFFFF"/>
        <w:spacing w:before="0" w:beforeAutospacing="0" w:after="0" w:afterAutospacing="0"/>
        <w:ind w:firstLine="708"/>
        <w:jc w:val="both"/>
        <w:rPr>
          <w:color w:val="11110B"/>
        </w:rPr>
      </w:pPr>
      <w:r w:rsidRPr="001D5E58">
        <w:rPr>
          <w:color w:val="11110B"/>
        </w:rPr>
        <w:t>Ustawa przewiduje również bardzo krótki termin na zgłoszenie beneficjentów rzeczywistych do </w:t>
      </w:r>
      <w:r w:rsidRPr="001D5E58">
        <w:rPr>
          <w:rStyle w:val="Pogrubienie"/>
          <w:color w:val="11110B"/>
        </w:rPr>
        <w:t>Centralnego Rejestru Beneficjentów Rzeczywistych</w:t>
      </w:r>
      <w:r w:rsidRPr="001D5E58">
        <w:rPr>
          <w:color w:val="11110B"/>
        </w:rPr>
        <w:t> – 7 dni od rejestracji organizacji</w:t>
      </w:r>
      <w:r>
        <w:rPr>
          <w:color w:val="11110B"/>
        </w:rPr>
        <w:t xml:space="preserve"> </w:t>
      </w:r>
      <w:r w:rsidRPr="001D5E58">
        <w:rPr>
          <w:color w:val="11110B"/>
        </w:rPr>
        <w:t>w</w:t>
      </w:r>
      <w:r w:rsidR="00B86737">
        <w:rPr>
          <w:color w:val="11110B"/>
        </w:rPr>
        <w:t> </w:t>
      </w:r>
      <w:r w:rsidRPr="001D5E58">
        <w:rPr>
          <w:color w:val="11110B"/>
        </w:rPr>
        <w:t>KRS dla organizacji zarejestrowanych po dniu</w:t>
      </w:r>
      <w:r>
        <w:rPr>
          <w:color w:val="11110B"/>
        </w:rPr>
        <w:t xml:space="preserve"> </w:t>
      </w:r>
      <w:r w:rsidRPr="001D5E58">
        <w:rPr>
          <w:rStyle w:val="Pogrubienie"/>
          <w:color w:val="11110B"/>
        </w:rPr>
        <w:t>31 października 2021r</w:t>
      </w:r>
      <w:r>
        <w:rPr>
          <w:color w:val="11110B"/>
        </w:rPr>
        <w:t xml:space="preserve"> </w:t>
      </w:r>
      <w:r w:rsidRPr="001D5E58">
        <w:rPr>
          <w:color w:val="11110B"/>
        </w:rPr>
        <w:t>-</w:t>
      </w:r>
      <w:r>
        <w:rPr>
          <w:color w:val="11110B"/>
        </w:rPr>
        <w:t xml:space="preserve"> </w:t>
      </w:r>
      <w:r w:rsidRPr="001D5E58">
        <w:rPr>
          <w:color w:val="11110B"/>
        </w:rPr>
        <w:t>a także 7 dni od rejestracji każdej zmiany danych podlegających wpisowi, np. gdy zmieni się skład organów organizacji lub dane osobowe poszczególnych osób wchodzących w ich skład (np. zmiana nazwiska czy państwa zamieszkania).</w:t>
      </w:r>
    </w:p>
    <w:p w14:paraId="0E7BB814" w14:textId="054BF500" w:rsidR="001D5E58" w:rsidRPr="001D5E58" w:rsidRDefault="001D5E58" w:rsidP="00FA7BDE">
      <w:pPr>
        <w:pStyle w:val="NormalnyWeb"/>
        <w:shd w:val="clear" w:color="auto" w:fill="FFFFFF"/>
        <w:spacing w:before="0" w:beforeAutospacing="0" w:after="0" w:afterAutospacing="0"/>
        <w:ind w:firstLine="708"/>
        <w:jc w:val="both"/>
        <w:rPr>
          <w:color w:val="11110B"/>
        </w:rPr>
      </w:pPr>
      <w:r w:rsidRPr="001D5E58">
        <w:rPr>
          <w:color w:val="11110B"/>
        </w:rPr>
        <w:t>By ustalić kto jest beneficjentem rzeczywistym w</w:t>
      </w:r>
      <w:r>
        <w:rPr>
          <w:color w:val="11110B"/>
        </w:rPr>
        <w:t xml:space="preserve"> </w:t>
      </w:r>
      <w:r w:rsidRPr="001D5E58">
        <w:rPr>
          <w:rStyle w:val="Pogrubienie"/>
          <w:color w:val="11110B"/>
        </w:rPr>
        <w:t>organizacji pozarządowej</w:t>
      </w:r>
      <w:r>
        <w:rPr>
          <w:color w:val="11110B"/>
        </w:rPr>
        <w:t xml:space="preserve"> </w:t>
      </w:r>
      <w:r w:rsidRPr="001D5E58">
        <w:rPr>
          <w:color w:val="11110B"/>
        </w:rPr>
        <w:t>należy przeanalizować, kto z imienia i nazwiska (jako osoba fizyczna) zgodnie z obowiązującymi przepisami oraz statutem organizacji ma decydujący wpływ na jej działalność. Według ustawy beneficjentem rzeczywistym jest każda osoba fizyczna dysponująca więcej niż 25% ogólnej liczby głosów w organie stanowiącym tej osoby prawnej, a jeśli nie można ustalić tożsamości takich osób – każdy członek zarządu organizacji. Organem stanowiącym osoby prawnej jest organ, który dysponuje (na podstawie ustawy albo aktu prawa wewnętrznego, np. statutu) uprawnieniami do przyjmowania wiążących rozstrzygnięć odnoszących się do całej osoby prawnej.</w:t>
      </w:r>
    </w:p>
    <w:p w14:paraId="436F5F3F" w14:textId="0CBF62DA" w:rsidR="001D5E58" w:rsidRPr="001D5E58" w:rsidRDefault="001D5E58" w:rsidP="00145BF3">
      <w:pPr>
        <w:pStyle w:val="NormalnyWeb"/>
        <w:shd w:val="clear" w:color="auto" w:fill="FFFFFF"/>
        <w:spacing w:before="0" w:beforeAutospacing="0" w:after="0" w:afterAutospacing="0"/>
        <w:ind w:firstLine="708"/>
        <w:jc w:val="both"/>
        <w:rPr>
          <w:color w:val="11110B"/>
        </w:rPr>
      </w:pPr>
      <w:r w:rsidRPr="001D5E58">
        <w:rPr>
          <w:color w:val="11110B"/>
        </w:rPr>
        <w:t>W przypadku</w:t>
      </w:r>
      <w:r>
        <w:rPr>
          <w:color w:val="11110B"/>
        </w:rPr>
        <w:t xml:space="preserve"> </w:t>
      </w:r>
      <w:r w:rsidRPr="001D5E58">
        <w:rPr>
          <w:rStyle w:val="Pogrubienie"/>
          <w:color w:val="11110B"/>
        </w:rPr>
        <w:t>Stowarzyszenia zarejestrowanego w Krajowym Rejestrze Sądowym</w:t>
      </w:r>
      <w:r w:rsidR="00B86737">
        <w:rPr>
          <w:color w:val="11110B"/>
        </w:rPr>
        <w:t xml:space="preserve"> </w:t>
      </w:r>
      <w:r w:rsidRPr="001D5E58">
        <w:rPr>
          <w:color w:val="11110B"/>
        </w:rPr>
        <w:t>najwyższą władzą stanowiącą jest walne zebranie członków. Ze względu na to, że minimalna liczba członków stowarzyszenia rejestrowego wynosi 7 osób, to żadna z osób nie będzie posiadała więcej niż 25% głosów, więc w tym przypadku jako beneficjentów rzeczywistych trzeba będzie wskazać wszystkich członków,</w:t>
      </w:r>
      <w:r w:rsidR="00B86737">
        <w:rPr>
          <w:color w:val="11110B"/>
        </w:rPr>
        <w:t xml:space="preserve"> </w:t>
      </w:r>
      <w:r w:rsidRPr="001D5E58">
        <w:rPr>
          <w:rStyle w:val="Pogrubienie"/>
          <w:color w:val="11110B"/>
        </w:rPr>
        <w:t>którzy wchodzą w skład zarządu stowarzyszenia.</w:t>
      </w:r>
    </w:p>
    <w:p w14:paraId="4CC3F666" w14:textId="77777777" w:rsidR="001D5E58" w:rsidRPr="001D5E58" w:rsidRDefault="001D5E58" w:rsidP="00145BF3">
      <w:pPr>
        <w:pStyle w:val="NormalnyWeb"/>
        <w:shd w:val="clear" w:color="auto" w:fill="FFFFFF"/>
        <w:spacing w:before="0" w:beforeAutospacing="0" w:after="0" w:afterAutospacing="0"/>
        <w:ind w:firstLine="708"/>
        <w:jc w:val="both"/>
        <w:rPr>
          <w:color w:val="11110B"/>
        </w:rPr>
      </w:pPr>
      <w:r w:rsidRPr="001D5E58">
        <w:rPr>
          <w:color w:val="11110B"/>
        </w:rPr>
        <w:t>Za niezgłoszenie w terminie 7 dni beneficjentów do ww. Rejestru, a także za podanie nieprawidłowych danych, Ustawa przewiduje kary w wysokości do 1 miliona złotych dla organizacji i do 50 tys. zł kary dla beneficjenta rzeczywistego, który nie dostarczył organizacji wymaganych informacji lub podał nieprawdziwe.</w:t>
      </w:r>
    </w:p>
    <w:p w14:paraId="14D08432" w14:textId="0BAEE046" w:rsidR="001D5E58" w:rsidRDefault="001D5E58" w:rsidP="00145BF3">
      <w:pPr>
        <w:pStyle w:val="NormalnyWeb"/>
        <w:shd w:val="clear" w:color="auto" w:fill="FFFFFF"/>
        <w:spacing w:before="0" w:beforeAutospacing="0"/>
        <w:ind w:firstLine="708"/>
        <w:jc w:val="both"/>
        <w:rPr>
          <w:color w:val="11110B"/>
        </w:rPr>
      </w:pPr>
      <w:r w:rsidRPr="001D5E58">
        <w:rPr>
          <w:color w:val="11110B"/>
        </w:rPr>
        <w:t>Zgłoszenia dokonuje się jednorazowo, następnie należy pamiętać o aktualizacji wpisu przy każdej zmianie danych członków zarządu.</w:t>
      </w:r>
    </w:p>
    <w:p w14:paraId="027090CC" w14:textId="7905BBA7" w:rsidR="00B86737" w:rsidRPr="00B86737" w:rsidRDefault="00B86737" w:rsidP="00B86737">
      <w:pPr>
        <w:pStyle w:val="NormalnyWeb"/>
        <w:shd w:val="clear" w:color="auto" w:fill="FFFFFF"/>
        <w:jc w:val="both"/>
        <w:rPr>
          <w:color w:val="11110B"/>
          <w:u w:val="single"/>
        </w:rPr>
      </w:pPr>
      <w:r w:rsidRPr="00B86737">
        <w:rPr>
          <w:color w:val="11110B"/>
          <w:u w:val="single"/>
        </w:rPr>
        <w:t>Jak zgłaszać?</w:t>
      </w:r>
    </w:p>
    <w:p w14:paraId="771223A8" w14:textId="41DBF79B" w:rsidR="00B86737" w:rsidRDefault="00B86737" w:rsidP="00B86737">
      <w:pPr>
        <w:pStyle w:val="NormalnyWeb"/>
        <w:shd w:val="clear" w:color="auto" w:fill="FFFFFF"/>
        <w:spacing w:after="0" w:afterAutospacing="0"/>
        <w:jc w:val="both"/>
        <w:rPr>
          <w:color w:val="11110B"/>
        </w:rPr>
      </w:pPr>
      <w:r w:rsidRPr="00B86737">
        <w:rPr>
          <w:color w:val="11110B"/>
        </w:rPr>
        <w:t>Zgłoszenia do Rejestru dokonuje osoba ustawowo uprawniona do reprezentacji stowarzyszenia. Zgłoszenia dokonuje się nieodpłatnie za pomocą środków</w:t>
      </w:r>
      <w:r>
        <w:rPr>
          <w:color w:val="11110B"/>
        </w:rPr>
        <w:t xml:space="preserve"> </w:t>
      </w:r>
      <w:r w:rsidRPr="00B86737">
        <w:rPr>
          <w:color w:val="11110B"/>
        </w:rPr>
        <w:t>komunikacji elektronicznej</w:t>
      </w:r>
      <w:r>
        <w:rPr>
          <w:color w:val="11110B"/>
        </w:rPr>
        <w:t xml:space="preserve">. </w:t>
      </w:r>
      <w:r w:rsidRPr="00B86737">
        <w:rPr>
          <w:color w:val="11110B"/>
        </w:rPr>
        <w:t xml:space="preserve">https://www.gov.pl/web/finanse/centralny-reiestr-beneficientow-rzeczywistych, podpisując je profilem zaufanym </w:t>
      </w:r>
      <w:proofErr w:type="spellStart"/>
      <w:r w:rsidRPr="00B86737">
        <w:rPr>
          <w:color w:val="11110B"/>
        </w:rPr>
        <w:t>ePUAP</w:t>
      </w:r>
      <w:proofErr w:type="spellEnd"/>
      <w:r w:rsidRPr="00B86737">
        <w:rPr>
          <w:color w:val="11110B"/>
        </w:rPr>
        <w:t xml:space="preserve"> lub kwalifikowanym podpisem elektronicznym. Jeśli statut organizacji wymaga podpisu więcej niż jednej osoby, formularz wypełnia i podpisuje jedna z</w:t>
      </w:r>
      <w:r w:rsidR="00FA7BDE">
        <w:rPr>
          <w:color w:val="11110B"/>
        </w:rPr>
        <w:t> </w:t>
      </w:r>
      <w:r w:rsidRPr="00B86737">
        <w:rPr>
          <w:color w:val="11110B"/>
        </w:rPr>
        <w:t>uprawnionych osób, a następnie tak podpisany jest przekazany do podpisania kolejnej osobie.</w:t>
      </w:r>
    </w:p>
    <w:p w14:paraId="7DF18D20" w14:textId="1D6F9B87" w:rsidR="00B86737" w:rsidRPr="00B86737" w:rsidRDefault="00B86737" w:rsidP="00FA7BDE">
      <w:pPr>
        <w:pStyle w:val="NormalnyWeb"/>
        <w:shd w:val="clear" w:color="auto" w:fill="FFFFFF"/>
        <w:spacing w:after="0" w:afterAutospacing="0"/>
        <w:jc w:val="both"/>
        <w:rPr>
          <w:color w:val="11110B"/>
        </w:rPr>
      </w:pPr>
      <w:r w:rsidRPr="00B86737">
        <w:rPr>
          <w:color w:val="11110B"/>
        </w:rPr>
        <w:lastRenderedPageBreak/>
        <w:t>Do Centralnego Rejestru Beneficjentów Rzeczywistych zgłaszane są następujące dane:</w:t>
      </w:r>
    </w:p>
    <w:p w14:paraId="5F440AC9" w14:textId="77777777" w:rsidR="00B86737" w:rsidRDefault="00B86737" w:rsidP="00FA7BDE">
      <w:pPr>
        <w:pStyle w:val="NormalnyWeb"/>
        <w:numPr>
          <w:ilvl w:val="0"/>
          <w:numId w:val="3"/>
        </w:numPr>
        <w:shd w:val="clear" w:color="auto" w:fill="FFFFFF"/>
        <w:spacing w:before="0" w:beforeAutospacing="0" w:after="0" w:afterAutospacing="0"/>
        <w:jc w:val="both"/>
        <w:rPr>
          <w:color w:val="11110B"/>
        </w:rPr>
      </w:pPr>
      <w:r w:rsidRPr="00B86737">
        <w:rPr>
          <w:color w:val="11110B"/>
        </w:rPr>
        <w:t>nazwa,</w:t>
      </w:r>
    </w:p>
    <w:p w14:paraId="0E549AA9" w14:textId="77777777" w:rsidR="00B86737" w:rsidRDefault="00B86737" w:rsidP="00FA7BDE">
      <w:pPr>
        <w:pStyle w:val="NormalnyWeb"/>
        <w:numPr>
          <w:ilvl w:val="0"/>
          <w:numId w:val="3"/>
        </w:numPr>
        <w:shd w:val="clear" w:color="auto" w:fill="FFFFFF"/>
        <w:spacing w:before="0" w:beforeAutospacing="0" w:after="0" w:afterAutospacing="0"/>
        <w:jc w:val="both"/>
        <w:rPr>
          <w:color w:val="11110B"/>
        </w:rPr>
      </w:pPr>
      <w:r w:rsidRPr="00B86737">
        <w:rPr>
          <w:color w:val="11110B"/>
        </w:rPr>
        <w:t>forma organizacyjna,</w:t>
      </w:r>
      <w:r>
        <w:rPr>
          <w:color w:val="11110B"/>
        </w:rPr>
        <w:t xml:space="preserve"> </w:t>
      </w:r>
    </w:p>
    <w:p w14:paraId="3A62E2DD" w14:textId="77777777" w:rsidR="00E20312" w:rsidRDefault="00B86737" w:rsidP="00FA7BDE">
      <w:pPr>
        <w:pStyle w:val="NormalnyWeb"/>
        <w:numPr>
          <w:ilvl w:val="0"/>
          <w:numId w:val="3"/>
        </w:numPr>
        <w:shd w:val="clear" w:color="auto" w:fill="FFFFFF"/>
        <w:spacing w:before="0" w:beforeAutospacing="0" w:after="0" w:afterAutospacing="0"/>
        <w:jc w:val="both"/>
        <w:rPr>
          <w:color w:val="11110B"/>
        </w:rPr>
      </w:pPr>
      <w:r w:rsidRPr="00B86737">
        <w:rPr>
          <w:color w:val="11110B"/>
        </w:rPr>
        <w:t>siedziba,</w:t>
      </w:r>
    </w:p>
    <w:p w14:paraId="036316CE" w14:textId="77777777" w:rsidR="00E20312" w:rsidRDefault="00B86737" w:rsidP="00FA7BDE">
      <w:pPr>
        <w:pStyle w:val="NormalnyWeb"/>
        <w:numPr>
          <w:ilvl w:val="0"/>
          <w:numId w:val="3"/>
        </w:numPr>
        <w:shd w:val="clear" w:color="auto" w:fill="FFFFFF"/>
        <w:spacing w:before="0" w:beforeAutospacing="0" w:after="0" w:afterAutospacing="0"/>
        <w:jc w:val="both"/>
        <w:rPr>
          <w:color w:val="11110B"/>
        </w:rPr>
      </w:pPr>
      <w:r w:rsidRPr="00B86737">
        <w:rPr>
          <w:color w:val="11110B"/>
        </w:rPr>
        <w:t>numer w Krajowym Rejestrze Sądowym,</w:t>
      </w:r>
    </w:p>
    <w:p w14:paraId="14326F2D" w14:textId="77777777" w:rsidR="00E20312" w:rsidRDefault="00B86737" w:rsidP="00FA7BDE">
      <w:pPr>
        <w:pStyle w:val="NormalnyWeb"/>
        <w:numPr>
          <w:ilvl w:val="0"/>
          <w:numId w:val="3"/>
        </w:numPr>
        <w:shd w:val="clear" w:color="auto" w:fill="FFFFFF"/>
        <w:spacing w:before="0" w:beforeAutospacing="0" w:after="0" w:afterAutospacing="0"/>
        <w:jc w:val="both"/>
        <w:rPr>
          <w:color w:val="11110B"/>
        </w:rPr>
      </w:pPr>
      <w:r w:rsidRPr="00B86737">
        <w:rPr>
          <w:color w:val="11110B"/>
        </w:rPr>
        <w:t>NIP, o ile został nadany;</w:t>
      </w:r>
    </w:p>
    <w:p w14:paraId="0C425212" w14:textId="77777777" w:rsidR="00E20312" w:rsidRDefault="00B86737" w:rsidP="00FA7BDE">
      <w:pPr>
        <w:pStyle w:val="NormalnyWeb"/>
        <w:numPr>
          <w:ilvl w:val="0"/>
          <w:numId w:val="3"/>
        </w:numPr>
        <w:shd w:val="clear" w:color="auto" w:fill="FFFFFF"/>
        <w:spacing w:before="0" w:beforeAutospacing="0" w:after="0" w:afterAutospacing="0"/>
        <w:jc w:val="both"/>
        <w:rPr>
          <w:color w:val="11110B"/>
        </w:rPr>
      </w:pPr>
      <w:r w:rsidRPr="00B86737">
        <w:rPr>
          <w:color w:val="11110B"/>
        </w:rPr>
        <w:t>dane identyfikacyjne beneficjenta rzeczywistego (Przewodniczącego, Wiceprzewodniczącego(</w:t>
      </w:r>
      <w:proofErr w:type="spellStart"/>
      <w:r w:rsidRPr="00B86737">
        <w:rPr>
          <w:color w:val="11110B"/>
        </w:rPr>
        <w:t>ch</w:t>
      </w:r>
      <w:proofErr w:type="spellEnd"/>
      <w:r w:rsidRPr="00B86737">
        <w:rPr>
          <w:color w:val="11110B"/>
        </w:rPr>
        <w:t>) i Członków Zarządu):</w:t>
      </w:r>
    </w:p>
    <w:p w14:paraId="7B184C7D" w14:textId="77777777" w:rsidR="00E20312" w:rsidRDefault="00B86737" w:rsidP="00FA7BDE">
      <w:pPr>
        <w:pStyle w:val="NormalnyWeb"/>
        <w:numPr>
          <w:ilvl w:val="0"/>
          <w:numId w:val="5"/>
        </w:numPr>
        <w:shd w:val="clear" w:color="auto" w:fill="FFFFFF"/>
        <w:spacing w:before="0" w:beforeAutospacing="0" w:after="0" w:afterAutospacing="0"/>
        <w:jc w:val="both"/>
        <w:rPr>
          <w:color w:val="11110B"/>
        </w:rPr>
      </w:pPr>
      <w:r w:rsidRPr="00B86737">
        <w:rPr>
          <w:color w:val="11110B"/>
        </w:rPr>
        <w:t>imię i nazwisko,</w:t>
      </w:r>
    </w:p>
    <w:p w14:paraId="77DB0D76" w14:textId="77777777" w:rsidR="00E20312" w:rsidRDefault="00B86737" w:rsidP="00FA7BDE">
      <w:pPr>
        <w:pStyle w:val="NormalnyWeb"/>
        <w:numPr>
          <w:ilvl w:val="0"/>
          <w:numId w:val="5"/>
        </w:numPr>
        <w:shd w:val="clear" w:color="auto" w:fill="FFFFFF"/>
        <w:spacing w:before="0" w:beforeAutospacing="0" w:after="0" w:afterAutospacing="0"/>
        <w:jc w:val="both"/>
        <w:rPr>
          <w:color w:val="11110B"/>
        </w:rPr>
      </w:pPr>
      <w:r w:rsidRPr="00B86737">
        <w:rPr>
          <w:color w:val="11110B"/>
        </w:rPr>
        <w:t>każde posiadane obywatelstwo,</w:t>
      </w:r>
    </w:p>
    <w:p w14:paraId="2A261471" w14:textId="77777777" w:rsidR="00E20312" w:rsidRDefault="00B86737" w:rsidP="00FA7BDE">
      <w:pPr>
        <w:pStyle w:val="NormalnyWeb"/>
        <w:numPr>
          <w:ilvl w:val="0"/>
          <w:numId w:val="5"/>
        </w:numPr>
        <w:shd w:val="clear" w:color="auto" w:fill="FFFFFF"/>
        <w:spacing w:before="0" w:beforeAutospacing="0" w:after="0" w:afterAutospacing="0"/>
        <w:jc w:val="both"/>
        <w:rPr>
          <w:color w:val="11110B"/>
        </w:rPr>
      </w:pPr>
      <w:r w:rsidRPr="00B86737">
        <w:rPr>
          <w:color w:val="11110B"/>
        </w:rPr>
        <w:t>państwo zamieszkania,</w:t>
      </w:r>
    </w:p>
    <w:p w14:paraId="29BF68AA" w14:textId="77777777" w:rsidR="00E20312" w:rsidRDefault="00B86737" w:rsidP="00FA7BDE">
      <w:pPr>
        <w:pStyle w:val="NormalnyWeb"/>
        <w:numPr>
          <w:ilvl w:val="0"/>
          <w:numId w:val="5"/>
        </w:numPr>
        <w:shd w:val="clear" w:color="auto" w:fill="FFFFFF"/>
        <w:spacing w:before="0" w:beforeAutospacing="0" w:after="0" w:afterAutospacing="0"/>
        <w:jc w:val="both"/>
        <w:rPr>
          <w:color w:val="11110B"/>
        </w:rPr>
      </w:pPr>
      <w:r w:rsidRPr="00B86737">
        <w:rPr>
          <w:color w:val="11110B"/>
        </w:rPr>
        <w:t>numer PESEL albo datę urodzenia - w przypadku osób nieposiadających numeru PESEL,</w:t>
      </w:r>
    </w:p>
    <w:p w14:paraId="26EE04EC" w14:textId="2F1F159B" w:rsidR="00B86737" w:rsidRDefault="00B86737" w:rsidP="00FA7BDE">
      <w:pPr>
        <w:pStyle w:val="NormalnyWeb"/>
        <w:numPr>
          <w:ilvl w:val="0"/>
          <w:numId w:val="5"/>
        </w:numPr>
        <w:shd w:val="clear" w:color="auto" w:fill="FFFFFF"/>
        <w:spacing w:before="0" w:beforeAutospacing="0" w:after="0" w:afterAutospacing="0"/>
        <w:jc w:val="both"/>
        <w:rPr>
          <w:color w:val="11110B"/>
        </w:rPr>
      </w:pPr>
      <w:r w:rsidRPr="00B86737">
        <w:rPr>
          <w:color w:val="11110B"/>
        </w:rPr>
        <w:t>informację o wielkości i charakterze udziału lub uprawnieniach przysługujących beneficjentowi rzeczywistemu.</w:t>
      </w:r>
    </w:p>
    <w:p w14:paraId="568C9899" w14:textId="77777777" w:rsidR="00E20312" w:rsidRPr="001D5E58" w:rsidRDefault="00E20312" w:rsidP="00E20312">
      <w:pPr>
        <w:pStyle w:val="NormalnyWeb"/>
        <w:shd w:val="clear" w:color="auto" w:fill="FFFFFF"/>
        <w:spacing w:before="0" w:beforeAutospacing="0" w:after="0" w:afterAutospacing="0"/>
        <w:jc w:val="both"/>
        <w:rPr>
          <w:color w:val="11110B"/>
        </w:rPr>
      </w:pPr>
    </w:p>
    <w:p w14:paraId="1E6C1D2D" w14:textId="77777777" w:rsidR="001D5E58" w:rsidRPr="001D5E58" w:rsidRDefault="001D5E58" w:rsidP="001D5E58">
      <w:pPr>
        <w:pStyle w:val="NormalnyWeb"/>
        <w:shd w:val="clear" w:color="auto" w:fill="FFFFFF"/>
        <w:spacing w:before="0" w:beforeAutospacing="0"/>
        <w:jc w:val="both"/>
        <w:rPr>
          <w:color w:val="11110B"/>
        </w:rPr>
      </w:pPr>
      <w:r w:rsidRPr="001D5E58">
        <w:rPr>
          <w:color w:val="11110B"/>
        </w:rPr>
        <w:t>Więcej informacji na stronach</w:t>
      </w:r>
    </w:p>
    <w:p w14:paraId="34A804DD" w14:textId="77777777" w:rsidR="001D5E58" w:rsidRPr="001D5E58" w:rsidRDefault="001D5E58" w:rsidP="001D5E58">
      <w:pPr>
        <w:pStyle w:val="NormalnyWeb"/>
        <w:shd w:val="clear" w:color="auto" w:fill="FFFFFF"/>
        <w:spacing w:before="0" w:beforeAutospacing="0"/>
        <w:jc w:val="both"/>
        <w:rPr>
          <w:color w:val="11110B"/>
        </w:rPr>
      </w:pPr>
      <w:hyperlink r:id="rId5" w:history="1">
        <w:r w:rsidRPr="001D5E58">
          <w:rPr>
            <w:rStyle w:val="Hipercze"/>
            <w:color w:val="3F5957"/>
          </w:rPr>
          <w:t>https://publicystyka.ngo.pl/przeciwdzialanie-praniu-pieniedzy-nowe-obowiazki-ngo-od-pazdziernika</w:t>
        </w:r>
      </w:hyperlink>
    </w:p>
    <w:p w14:paraId="2CCF70FF" w14:textId="77777777" w:rsidR="001D5E58" w:rsidRPr="001D5E58" w:rsidRDefault="001D5E58" w:rsidP="001D5E58">
      <w:pPr>
        <w:pStyle w:val="NormalnyWeb"/>
        <w:shd w:val="clear" w:color="auto" w:fill="FFFFFF"/>
        <w:spacing w:before="0" w:beforeAutospacing="0"/>
        <w:jc w:val="both"/>
        <w:rPr>
          <w:color w:val="11110B"/>
        </w:rPr>
      </w:pPr>
      <w:hyperlink r:id="rId6" w:history="1">
        <w:r w:rsidRPr="001D5E58">
          <w:rPr>
            <w:rStyle w:val="Hipercze"/>
            <w:color w:val="3F5957"/>
          </w:rPr>
          <w:t>https://publicystyka.ngo.pl/ngo-i-zglaszanie-beneficjentow-rzeczywistych-przypominamy-o-nowych-obowiazkach-organizacji</w:t>
        </w:r>
      </w:hyperlink>
    </w:p>
    <w:p w14:paraId="2D2EB0E4" w14:textId="77777777" w:rsidR="001D5E58" w:rsidRPr="001D5E58" w:rsidRDefault="001D5E58" w:rsidP="001D5E58">
      <w:pPr>
        <w:pStyle w:val="NormalnyWeb"/>
        <w:shd w:val="clear" w:color="auto" w:fill="FFFFFF"/>
        <w:spacing w:before="0" w:beforeAutospacing="0"/>
        <w:jc w:val="both"/>
        <w:rPr>
          <w:color w:val="11110B"/>
        </w:rPr>
      </w:pPr>
      <w:hyperlink r:id="rId7" w:history="1">
        <w:r w:rsidRPr="001D5E58">
          <w:rPr>
            <w:rStyle w:val="Hipercze"/>
            <w:color w:val="3F5957"/>
          </w:rPr>
          <w:t>https://www.gov.pl/web/finanse/zgloszenie-informacji-o-beneficjentach</w:t>
        </w:r>
      </w:hyperlink>
    </w:p>
    <w:p w14:paraId="79F0FB1B" w14:textId="77777777" w:rsidR="002D7C02" w:rsidRPr="001D5E58" w:rsidRDefault="002D7C02" w:rsidP="001D5E58">
      <w:pPr>
        <w:jc w:val="both"/>
      </w:pPr>
    </w:p>
    <w:sectPr w:rsidR="002D7C02" w:rsidRPr="001D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265"/>
    <w:multiLevelType w:val="hybridMultilevel"/>
    <w:tmpl w:val="A32E9D3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191F0A"/>
    <w:multiLevelType w:val="hybridMultilevel"/>
    <w:tmpl w:val="DAACA6D0"/>
    <w:lvl w:ilvl="0" w:tplc="D9182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5B6739"/>
    <w:multiLevelType w:val="hybridMultilevel"/>
    <w:tmpl w:val="4BAECE64"/>
    <w:lvl w:ilvl="0" w:tplc="0415000D">
      <w:start w:val="1"/>
      <w:numFmt w:val="bullet"/>
      <w:lvlText w:val=""/>
      <w:lvlJc w:val="left"/>
      <w:rPr>
        <w:rFonts w:ascii="Wingdings" w:hAnsi="Wingdings" w:hint="default"/>
      </w:rPr>
    </w:lvl>
    <w:lvl w:ilvl="1" w:tplc="04150003">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3" w15:restartNumberingAfterBreak="0">
    <w:nsid w:val="3D744779"/>
    <w:multiLevelType w:val="hybridMultilevel"/>
    <w:tmpl w:val="7C0A2796"/>
    <w:lvl w:ilvl="0" w:tplc="D9182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8E1570"/>
    <w:multiLevelType w:val="hybridMultilevel"/>
    <w:tmpl w:val="1B34EA38"/>
    <w:lvl w:ilvl="0" w:tplc="D9182ADC">
      <w:start w:val="1"/>
      <w:numFmt w:val="bullet"/>
      <w:lvlText w:val=""/>
      <w:lvlJc w:val="left"/>
      <w:rPr>
        <w:rFonts w:ascii="Symbol" w:hAnsi="Symbol" w:hint="default"/>
      </w:rPr>
    </w:lvl>
    <w:lvl w:ilvl="1" w:tplc="FFFFFFFF">
      <w:start w:val="1"/>
      <w:numFmt w:val="bullet"/>
      <w:lvlText w:val="o"/>
      <w:lvlJc w:val="left"/>
      <w:pPr>
        <w:ind w:left="5835" w:hanging="360"/>
      </w:pPr>
      <w:rPr>
        <w:rFonts w:ascii="Courier New" w:hAnsi="Courier New" w:cs="Courier New" w:hint="default"/>
      </w:rPr>
    </w:lvl>
    <w:lvl w:ilvl="2" w:tplc="FFFFFFFF" w:tentative="1">
      <w:start w:val="1"/>
      <w:numFmt w:val="bullet"/>
      <w:lvlText w:val=""/>
      <w:lvlJc w:val="left"/>
      <w:pPr>
        <w:ind w:left="6555" w:hanging="360"/>
      </w:pPr>
      <w:rPr>
        <w:rFonts w:ascii="Wingdings" w:hAnsi="Wingdings" w:hint="default"/>
      </w:rPr>
    </w:lvl>
    <w:lvl w:ilvl="3" w:tplc="FFFFFFFF" w:tentative="1">
      <w:start w:val="1"/>
      <w:numFmt w:val="bullet"/>
      <w:lvlText w:val=""/>
      <w:lvlJc w:val="left"/>
      <w:pPr>
        <w:ind w:left="7275" w:hanging="360"/>
      </w:pPr>
      <w:rPr>
        <w:rFonts w:ascii="Symbol" w:hAnsi="Symbol" w:hint="default"/>
      </w:rPr>
    </w:lvl>
    <w:lvl w:ilvl="4" w:tplc="FFFFFFFF" w:tentative="1">
      <w:start w:val="1"/>
      <w:numFmt w:val="bullet"/>
      <w:lvlText w:val="o"/>
      <w:lvlJc w:val="left"/>
      <w:pPr>
        <w:ind w:left="7995" w:hanging="360"/>
      </w:pPr>
      <w:rPr>
        <w:rFonts w:ascii="Courier New" w:hAnsi="Courier New" w:cs="Courier New" w:hint="default"/>
      </w:rPr>
    </w:lvl>
    <w:lvl w:ilvl="5" w:tplc="FFFFFFFF" w:tentative="1">
      <w:start w:val="1"/>
      <w:numFmt w:val="bullet"/>
      <w:lvlText w:val=""/>
      <w:lvlJc w:val="left"/>
      <w:pPr>
        <w:ind w:left="8715" w:hanging="360"/>
      </w:pPr>
      <w:rPr>
        <w:rFonts w:ascii="Wingdings" w:hAnsi="Wingdings" w:hint="default"/>
      </w:rPr>
    </w:lvl>
    <w:lvl w:ilvl="6" w:tplc="FFFFFFFF" w:tentative="1">
      <w:start w:val="1"/>
      <w:numFmt w:val="bullet"/>
      <w:lvlText w:val=""/>
      <w:lvlJc w:val="left"/>
      <w:pPr>
        <w:ind w:left="9435" w:hanging="360"/>
      </w:pPr>
      <w:rPr>
        <w:rFonts w:ascii="Symbol" w:hAnsi="Symbol" w:hint="default"/>
      </w:rPr>
    </w:lvl>
    <w:lvl w:ilvl="7" w:tplc="FFFFFFFF" w:tentative="1">
      <w:start w:val="1"/>
      <w:numFmt w:val="bullet"/>
      <w:lvlText w:val="o"/>
      <w:lvlJc w:val="left"/>
      <w:pPr>
        <w:ind w:left="10155" w:hanging="360"/>
      </w:pPr>
      <w:rPr>
        <w:rFonts w:ascii="Courier New" w:hAnsi="Courier New" w:cs="Courier New" w:hint="default"/>
      </w:rPr>
    </w:lvl>
    <w:lvl w:ilvl="8" w:tplc="FFFFFFFF" w:tentative="1">
      <w:start w:val="1"/>
      <w:numFmt w:val="bullet"/>
      <w:lvlText w:val=""/>
      <w:lvlJc w:val="left"/>
      <w:pPr>
        <w:ind w:left="1087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58"/>
    <w:rsid w:val="00145BF3"/>
    <w:rsid w:val="001D5E58"/>
    <w:rsid w:val="002D7C02"/>
    <w:rsid w:val="00B86737"/>
    <w:rsid w:val="00E20312"/>
    <w:rsid w:val="00FA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F206"/>
  <w15:chartTrackingRefBased/>
  <w15:docId w15:val="{B5C700CB-8757-491E-9437-F8243C87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5E58"/>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1D5E58"/>
    <w:rPr>
      <w:b/>
      <w:bCs/>
    </w:rPr>
  </w:style>
  <w:style w:type="character" w:styleId="Hipercze">
    <w:name w:val="Hyperlink"/>
    <w:basedOn w:val="Domylnaczcionkaakapitu"/>
    <w:uiPriority w:val="99"/>
    <w:semiHidden/>
    <w:unhideWhenUsed/>
    <w:rsid w:val="001D5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3846">
      <w:bodyDiv w:val="1"/>
      <w:marLeft w:val="0"/>
      <w:marRight w:val="0"/>
      <w:marTop w:val="0"/>
      <w:marBottom w:val="0"/>
      <w:divBdr>
        <w:top w:val="none" w:sz="0" w:space="0" w:color="auto"/>
        <w:left w:val="none" w:sz="0" w:space="0" w:color="auto"/>
        <w:bottom w:val="none" w:sz="0" w:space="0" w:color="auto"/>
        <w:right w:val="none" w:sz="0" w:space="0" w:color="auto"/>
      </w:divBdr>
    </w:div>
    <w:div w:id="7644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finanse/zgloszenie-informacji-o-beneficjent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ystyka.ngo.pl/ngo-i-zglaszanie-beneficjentow-rzeczywistych-przypominamy-o-nowych-obowiazkach-organizacji" TargetMode="External"/><Relationship Id="rId5" Type="http://schemas.openxmlformats.org/officeDocument/2006/relationships/hyperlink" Target="https://publicystyka.ngo.pl/przeciwdzialanie-praniu-pieniedzy-nowe-obowiazki-ngo-od-pazdzierni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3973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promocja@gminaszastarka.pl Szastarka</dc:creator>
  <cp:keywords/>
  <dc:description/>
  <cp:lastModifiedBy>promocja@gminaszastarka.pl Szastarka</cp:lastModifiedBy>
  <cp:revision>1</cp:revision>
  <dcterms:created xsi:type="dcterms:W3CDTF">2022-01-19T08:48:00Z</dcterms:created>
  <dcterms:modified xsi:type="dcterms:W3CDTF">2022-01-19T09:11:00Z</dcterms:modified>
</cp:coreProperties>
</file>